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211FEE"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(TFG) + 12 ECTS (Internship)</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7535DE" w:rsidP="00E405C8">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7535DE" w:rsidP="00E405C8">
            <w:pPr>
              <w:rPr>
                <w:color w:val="7F7F7F" w:themeColor="text1" w:themeTint="80"/>
                <w:lang w:val="en-GB"/>
              </w:rPr>
            </w:pPr>
            <w:r>
              <w:rPr>
                <w:color w:val="7F7F7F" w:themeColor="text1" w:themeTint="80"/>
                <w:lang w:val="en-GB"/>
              </w:rPr>
              <w:t>Vice-Dean for International Relations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7535DE">
              <w:rPr>
                <w:b/>
                <w:bCs/>
                <w:noProof/>
              </w:rPr>
              <w:t>5</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7535DE">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535DE"/>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A7AD7"/>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118E-4D8F-4ACA-A14B-51B7E678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892</Words>
  <Characters>4910</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Araceli</dc:creator>
  <cp:lastModifiedBy>UPC</cp:lastModifiedBy>
  <cp:revision>2</cp:revision>
  <cp:lastPrinted>2018-05-29T11:14:00Z</cp:lastPrinted>
  <dcterms:created xsi:type="dcterms:W3CDTF">2022-07-01T07:20:00Z</dcterms:created>
  <dcterms:modified xsi:type="dcterms:W3CDTF">2022-07-01T07:20:00Z</dcterms:modified>
</cp:coreProperties>
</file>